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A4AA9" w:rsidRPr="00D242DD" w:rsidRDefault="00DA4AA9" w:rsidP="00DA4AA9">
      <w:pPr>
        <w:spacing w:before="120" w:after="240"/>
        <w:jc w:val="center"/>
        <w:rPr>
          <w:rFonts w:ascii="Arial" w:hAnsi="Arial" w:cs="Arial"/>
          <w:b/>
          <w:bCs/>
          <w:color w:val="C00000"/>
          <w:sz w:val="28"/>
          <w:szCs w:val="28"/>
        </w:rPr>
      </w:pPr>
      <w:r w:rsidRPr="00D242DD">
        <w:rPr>
          <w:rFonts w:ascii="Arial" w:hAnsi="Arial" w:cs="Arial"/>
          <w:b/>
          <w:bCs/>
          <w:color w:val="C00000"/>
          <w:sz w:val="28"/>
          <w:szCs w:val="28"/>
        </w:rPr>
        <w:t>Solar Electric Technician Training</w:t>
      </w:r>
    </w:p>
    <w:p w:rsidR="00DA4AA9" w:rsidRPr="00D242DD" w:rsidRDefault="00DA4AA9" w:rsidP="00DA4AA9">
      <w:pPr>
        <w:spacing w:after="120"/>
        <w:jc w:val="center"/>
        <w:rPr>
          <w:rFonts w:ascii="Arial" w:hAnsi="Arial" w:cs="Arial"/>
          <w:b/>
          <w:bCs/>
          <w:sz w:val="24"/>
          <w:szCs w:val="24"/>
        </w:rPr>
      </w:pPr>
      <w:r w:rsidRPr="00D242DD">
        <w:rPr>
          <w:rFonts w:ascii="Arial" w:hAnsi="Arial" w:cs="Arial"/>
          <w:b/>
          <w:bCs/>
          <w:sz w:val="24"/>
          <w:szCs w:val="24"/>
        </w:rPr>
        <w:t>Module 2: Occupational health and safety</w:t>
      </w:r>
    </w:p>
    <w:p w:rsidR="00E07DE4" w:rsidRPr="00DA4AA9" w:rsidRDefault="00E07DE4" w:rsidP="00DA4AA9">
      <w:pPr>
        <w:jc w:val="center"/>
        <w:rPr>
          <w:rFonts w:ascii="Arial" w:hAnsi="Arial" w:cs="Arial"/>
          <w:b/>
          <w:bCs/>
        </w:rPr>
      </w:pPr>
      <w:r w:rsidRPr="00DA4AA9">
        <w:rPr>
          <w:rFonts w:ascii="Arial" w:hAnsi="Arial" w:cs="Arial"/>
          <w:b/>
          <w:bCs/>
        </w:rPr>
        <w:t xml:space="preserve">Case Study: Failure to </w:t>
      </w:r>
      <w:r w:rsidR="00DA4AA9">
        <w:rPr>
          <w:rFonts w:ascii="Arial" w:hAnsi="Arial" w:cs="Arial"/>
          <w:b/>
          <w:bCs/>
        </w:rPr>
        <w:t>f</w:t>
      </w:r>
      <w:r w:rsidRPr="00DA4AA9">
        <w:rPr>
          <w:rFonts w:ascii="Arial" w:hAnsi="Arial" w:cs="Arial"/>
          <w:b/>
          <w:bCs/>
        </w:rPr>
        <w:t xml:space="preserve">ollow </w:t>
      </w:r>
      <w:r w:rsidR="00DA4AA9">
        <w:rPr>
          <w:rFonts w:ascii="Arial" w:hAnsi="Arial" w:cs="Arial"/>
          <w:b/>
          <w:bCs/>
        </w:rPr>
        <w:t>s</w:t>
      </w:r>
      <w:r w:rsidRPr="00DA4AA9">
        <w:rPr>
          <w:rFonts w:ascii="Arial" w:hAnsi="Arial" w:cs="Arial"/>
          <w:b/>
          <w:bCs/>
        </w:rPr>
        <w:t xml:space="preserve">tandards in a </w:t>
      </w:r>
      <w:r w:rsidR="00DA4AA9">
        <w:rPr>
          <w:rFonts w:ascii="Arial" w:hAnsi="Arial" w:cs="Arial"/>
          <w:b/>
          <w:bCs/>
        </w:rPr>
        <w:t>s</w:t>
      </w:r>
      <w:r w:rsidRPr="00DA4AA9">
        <w:rPr>
          <w:rFonts w:ascii="Arial" w:hAnsi="Arial" w:cs="Arial"/>
          <w:b/>
          <w:bCs/>
        </w:rPr>
        <w:t xml:space="preserve">olar PV </w:t>
      </w:r>
      <w:r w:rsidR="00DA4AA9">
        <w:rPr>
          <w:rFonts w:ascii="Arial" w:hAnsi="Arial" w:cs="Arial"/>
          <w:b/>
          <w:bCs/>
        </w:rPr>
        <w:t>i</w:t>
      </w:r>
      <w:r w:rsidRPr="00DA4AA9">
        <w:rPr>
          <w:rFonts w:ascii="Arial" w:hAnsi="Arial" w:cs="Arial"/>
          <w:b/>
          <w:bCs/>
        </w:rPr>
        <w:t>nstallation</w:t>
      </w:r>
    </w:p>
    <w:p w:rsidR="00E07DE4" w:rsidRPr="00DA4AA9" w:rsidRDefault="00E07DE4" w:rsidP="002C4EA5">
      <w:pPr>
        <w:adjustRightInd w:val="0"/>
        <w:spacing w:before="240"/>
        <w:rPr>
          <w:rFonts w:ascii="Arial" w:hAnsi="Arial" w:cs="Arial"/>
          <w:b/>
          <w:bCs/>
          <w:color w:val="C00000"/>
        </w:rPr>
      </w:pPr>
      <w:r w:rsidRPr="00DA4AA9">
        <w:rPr>
          <w:rFonts w:ascii="Arial" w:hAnsi="Arial" w:cs="Arial"/>
          <w:b/>
          <w:bCs/>
          <w:color w:val="C00000"/>
        </w:rPr>
        <w:t>Background</w:t>
      </w:r>
    </w:p>
    <w:p w:rsidR="00DA73F5" w:rsidRPr="00DA4AA9" w:rsidRDefault="00E07DE4" w:rsidP="00DA4AA9">
      <w:pPr>
        <w:spacing w:after="120"/>
        <w:rPr>
          <w:rFonts w:ascii="Arial" w:hAnsi="Arial" w:cs="Arial"/>
          <w:lang w:val="en-GB"/>
        </w:rPr>
      </w:pPr>
      <w:r w:rsidRPr="00DA4AA9">
        <w:rPr>
          <w:rFonts w:ascii="Arial" w:hAnsi="Arial" w:cs="Arial"/>
          <w:lang w:val="en-GB"/>
        </w:rPr>
        <w:t>In 2018, a mid-sized solar PV installation was commissioned on the rooftop of a commercial building in Kathmandu, Nepal. The system was designed to provide 50 kW of power, enough to offset a significant portion of the building's electricity consumption. The installation was completed by a local contractor who had limited experience with solar projects.</w:t>
      </w:r>
    </w:p>
    <w:p w:rsidR="00E07DE4" w:rsidRPr="00DA4AA9" w:rsidRDefault="00E07DE4" w:rsidP="00DA4AA9">
      <w:pPr>
        <w:rPr>
          <w:rFonts w:ascii="Arial" w:hAnsi="Arial" w:cs="Arial"/>
          <w:b/>
          <w:bCs/>
          <w:color w:val="C00000"/>
        </w:rPr>
      </w:pPr>
      <w:r w:rsidRPr="00DA4AA9">
        <w:rPr>
          <w:rFonts w:ascii="Arial" w:hAnsi="Arial" w:cs="Arial"/>
          <w:b/>
          <w:bCs/>
          <w:color w:val="C00000"/>
        </w:rPr>
        <w:t>Problem</w:t>
      </w:r>
    </w:p>
    <w:p w:rsidR="004B0D3C" w:rsidRPr="00DA4AA9" w:rsidRDefault="00E07DE4" w:rsidP="00DA4AA9">
      <w:pPr>
        <w:spacing w:after="120"/>
        <w:rPr>
          <w:rFonts w:ascii="Arial" w:hAnsi="Arial" w:cs="Arial"/>
          <w:lang w:val="en-GB"/>
        </w:rPr>
      </w:pPr>
      <w:r w:rsidRPr="00DA4AA9">
        <w:rPr>
          <w:rFonts w:ascii="Arial" w:hAnsi="Arial" w:cs="Arial"/>
          <w:lang w:val="en-GB"/>
        </w:rPr>
        <w:t xml:space="preserve">Shortly after commissioning, the system began experiencing frequent faults, including </w:t>
      </w:r>
      <w:r w:rsidR="0072734D" w:rsidRPr="00DA4AA9">
        <w:rPr>
          <w:rFonts w:ascii="Arial" w:hAnsi="Arial" w:cs="Arial"/>
          <w:lang w:val="en-GB"/>
        </w:rPr>
        <w:t>inverter shutdowns, tripped breakers, and underperformance</w:t>
      </w:r>
      <w:r w:rsidRPr="00DA4AA9">
        <w:rPr>
          <w:rFonts w:ascii="Arial" w:hAnsi="Arial" w:cs="Arial"/>
          <w:lang w:val="en-GB"/>
        </w:rPr>
        <w:t xml:space="preserve">. Within six months, the system suffered a significant failure when an </w:t>
      </w:r>
      <w:r w:rsidR="0072734D" w:rsidRPr="00DA4AA9">
        <w:rPr>
          <w:rFonts w:ascii="Arial" w:hAnsi="Arial" w:cs="Arial"/>
          <w:lang w:val="en-GB"/>
        </w:rPr>
        <w:t>electrical fire</w:t>
      </w:r>
      <w:r w:rsidRPr="00DA4AA9">
        <w:rPr>
          <w:rFonts w:ascii="Arial" w:hAnsi="Arial" w:cs="Arial"/>
          <w:lang w:val="en-GB"/>
        </w:rPr>
        <w:t xml:space="preserve"> broke out in one of the junction boxes, causing extensive damage to the wiring and some PV modules.</w:t>
      </w:r>
    </w:p>
    <w:p w:rsidR="00E07DE4" w:rsidRPr="00DA4AA9" w:rsidRDefault="00E07DE4" w:rsidP="00DA4AA9">
      <w:pPr>
        <w:spacing w:after="120"/>
        <w:rPr>
          <w:rFonts w:ascii="Arial" w:hAnsi="Arial" w:cs="Arial"/>
          <w:b/>
          <w:bCs/>
          <w:color w:val="C00000"/>
          <w:lang w:val="en-GB"/>
        </w:rPr>
      </w:pPr>
      <w:r w:rsidRPr="00DA4AA9">
        <w:rPr>
          <w:rFonts w:ascii="Arial" w:hAnsi="Arial" w:cs="Arial"/>
          <w:b/>
          <w:bCs/>
          <w:color w:val="C00000"/>
          <w:lang w:val="en-GB"/>
        </w:rPr>
        <w:t>Investigation</w:t>
      </w:r>
      <w:r w:rsidR="004F46EE" w:rsidRPr="00DA4AA9">
        <w:rPr>
          <w:rFonts w:ascii="Arial" w:hAnsi="Arial" w:cs="Arial"/>
          <w:b/>
          <w:bCs/>
          <w:color w:val="C00000"/>
          <w:lang w:val="en-GB"/>
        </w:rPr>
        <w:t xml:space="preserve"> f</w:t>
      </w:r>
      <w:r w:rsidR="00E77F2A" w:rsidRPr="00DA4AA9">
        <w:rPr>
          <w:rFonts w:ascii="Arial" w:hAnsi="Arial" w:cs="Arial"/>
          <w:b/>
          <w:bCs/>
          <w:color w:val="C00000"/>
          <w:lang w:val="en-GB"/>
        </w:rPr>
        <w:t>indings:</w:t>
      </w:r>
    </w:p>
    <w:p w:rsidR="00E07DE4" w:rsidRPr="00DA4AA9" w:rsidRDefault="00E07DE4" w:rsidP="00DA4AA9">
      <w:pPr>
        <w:spacing w:after="120"/>
        <w:rPr>
          <w:rFonts w:ascii="Arial" w:hAnsi="Arial" w:cs="Arial"/>
          <w:lang w:val="en-GB"/>
        </w:rPr>
      </w:pPr>
      <w:r w:rsidRPr="00DA4AA9">
        <w:rPr>
          <w:rFonts w:ascii="Arial" w:hAnsi="Arial" w:cs="Arial"/>
          <w:lang w:val="en-GB"/>
        </w:rPr>
        <w:t>A thorough investigation was conducted by a third-party solar engineering firm to determine the root cause of the issues. The investigation revealed several critical failures to follow established professional and technical standards:</w:t>
      </w:r>
    </w:p>
    <w:p w:rsidR="00E07DE4" w:rsidRPr="00DA4AA9" w:rsidRDefault="00E07DE4" w:rsidP="00DA4AA9">
      <w:pPr>
        <w:pStyle w:val="ListParagraph"/>
        <w:numPr>
          <w:ilvl w:val="0"/>
          <w:numId w:val="5"/>
        </w:numPr>
        <w:adjustRightInd w:val="0"/>
        <w:snapToGrid w:val="0"/>
        <w:ind w:left="357" w:hanging="357"/>
        <w:contextualSpacing w:val="0"/>
        <w:rPr>
          <w:rFonts w:ascii="Arial" w:hAnsi="Arial" w:cs="Arial"/>
        </w:rPr>
      </w:pPr>
      <w:r w:rsidRPr="00DA4AA9">
        <w:rPr>
          <w:rFonts w:ascii="Arial" w:hAnsi="Arial" w:cs="Arial"/>
          <w:b/>
          <w:bCs/>
        </w:rPr>
        <w:t xml:space="preserve">Improper </w:t>
      </w:r>
      <w:r w:rsidR="000E3B68">
        <w:rPr>
          <w:rFonts w:ascii="Arial" w:hAnsi="Arial" w:cs="Arial"/>
          <w:b/>
          <w:bCs/>
        </w:rPr>
        <w:t>w</w:t>
      </w:r>
      <w:r w:rsidRPr="00DA4AA9">
        <w:rPr>
          <w:rFonts w:ascii="Arial" w:hAnsi="Arial" w:cs="Arial"/>
          <w:b/>
          <w:bCs/>
        </w:rPr>
        <w:t xml:space="preserve">iring </w:t>
      </w:r>
      <w:r w:rsidR="000E3B68">
        <w:rPr>
          <w:rFonts w:ascii="Arial" w:hAnsi="Arial" w:cs="Arial"/>
          <w:b/>
          <w:bCs/>
        </w:rPr>
        <w:t>p</w:t>
      </w:r>
      <w:r w:rsidRPr="00DA4AA9">
        <w:rPr>
          <w:rFonts w:ascii="Arial" w:hAnsi="Arial" w:cs="Arial"/>
          <w:b/>
          <w:bCs/>
        </w:rPr>
        <w:t>ractices (</w:t>
      </w:r>
      <w:r w:rsidR="00DA73F5" w:rsidRPr="00DA4AA9">
        <w:rPr>
          <w:rFonts w:ascii="Arial" w:hAnsi="Arial" w:cs="Arial"/>
          <w:b/>
          <w:bCs/>
        </w:rPr>
        <w:t>National Electrical Code, NEC</w:t>
      </w:r>
      <w:r w:rsidRPr="00DA4AA9">
        <w:rPr>
          <w:rFonts w:ascii="Arial" w:hAnsi="Arial" w:cs="Arial"/>
          <w:b/>
          <w:bCs/>
        </w:rPr>
        <w:t xml:space="preserve"> Violation)</w:t>
      </w:r>
    </w:p>
    <w:p w:rsidR="004B0D3C" w:rsidRPr="00DA4AA9" w:rsidRDefault="00E07DE4" w:rsidP="00DA4AA9">
      <w:pPr>
        <w:jc w:val="both"/>
        <w:rPr>
          <w:rFonts w:ascii="Arial" w:hAnsi="Arial" w:cs="Arial"/>
        </w:rPr>
      </w:pPr>
      <w:r w:rsidRPr="00DA4AA9">
        <w:rPr>
          <w:rFonts w:ascii="Arial" w:hAnsi="Arial" w:cs="Arial"/>
        </w:rPr>
        <w:t>The investigation found that the contractor did not follow the National Electrical Code (NEC) guidelines for wiring and protection. Conductors were undersized for the current they were carrying, leading to overheating. The lack of proper conduit protection in certain areas exposed wires to mechanical damage, which eventually caused a short circuit and the subsequent fire.</w:t>
      </w:r>
    </w:p>
    <w:p w:rsidR="00E07DE4" w:rsidRPr="00DA4AA9" w:rsidRDefault="00E07DE4" w:rsidP="00DA4AA9">
      <w:pPr>
        <w:pStyle w:val="ListParagraph"/>
        <w:numPr>
          <w:ilvl w:val="0"/>
          <w:numId w:val="5"/>
        </w:numPr>
        <w:adjustRightInd w:val="0"/>
        <w:snapToGrid w:val="0"/>
        <w:ind w:left="357" w:hanging="357"/>
        <w:contextualSpacing w:val="0"/>
        <w:rPr>
          <w:rFonts w:ascii="Arial" w:hAnsi="Arial" w:cs="Arial"/>
        </w:rPr>
      </w:pPr>
      <w:r w:rsidRPr="00DA4AA9">
        <w:rPr>
          <w:rFonts w:ascii="Arial" w:hAnsi="Arial" w:cs="Arial"/>
          <w:b/>
          <w:bCs/>
        </w:rPr>
        <w:t>Non-</w:t>
      </w:r>
      <w:r w:rsidR="000E3B68">
        <w:rPr>
          <w:rFonts w:ascii="Arial" w:hAnsi="Arial" w:cs="Arial"/>
          <w:b/>
          <w:bCs/>
        </w:rPr>
        <w:t>c</w:t>
      </w:r>
      <w:r w:rsidRPr="00DA4AA9">
        <w:rPr>
          <w:rFonts w:ascii="Arial" w:hAnsi="Arial" w:cs="Arial"/>
          <w:b/>
          <w:bCs/>
        </w:rPr>
        <w:t xml:space="preserve">ompliant </w:t>
      </w:r>
      <w:r w:rsidR="000E3B68">
        <w:rPr>
          <w:rFonts w:ascii="Arial" w:hAnsi="Arial" w:cs="Arial"/>
          <w:b/>
          <w:bCs/>
        </w:rPr>
        <w:t>c</w:t>
      </w:r>
      <w:r w:rsidRPr="00DA4AA9">
        <w:rPr>
          <w:rFonts w:ascii="Arial" w:hAnsi="Arial" w:cs="Arial"/>
          <w:b/>
          <w:bCs/>
        </w:rPr>
        <w:t>omponents (IEC Standards Violation)</w:t>
      </w:r>
    </w:p>
    <w:p w:rsidR="004B0D3C" w:rsidRPr="00DA4AA9" w:rsidRDefault="00E07DE4" w:rsidP="000E3B68">
      <w:pPr>
        <w:jc w:val="both"/>
        <w:rPr>
          <w:rFonts w:ascii="Arial" w:hAnsi="Arial" w:cs="Arial"/>
        </w:rPr>
      </w:pPr>
      <w:r w:rsidRPr="00DA4AA9">
        <w:rPr>
          <w:rFonts w:ascii="Arial" w:hAnsi="Arial" w:cs="Arial"/>
        </w:rPr>
        <w:t>The PV modules used in the installation were found to be non-compliant with IEC 61215 standards for module quality and safety. These substandard modules were prone to microcracking, which led to reduced efficiency and eventual failure under normal operating conditions.</w:t>
      </w:r>
    </w:p>
    <w:p w:rsidR="00E07DE4" w:rsidRPr="00DA4AA9" w:rsidRDefault="00E07DE4" w:rsidP="00DA4AA9">
      <w:pPr>
        <w:pStyle w:val="ListParagraph"/>
        <w:numPr>
          <w:ilvl w:val="0"/>
          <w:numId w:val="5"/>
        </w:numPr>
        <w:adjustRightInd w:val="0"/>
        <w:snapToGrid w:val="0"/>
        <w:ind w:left="357" w:hanging="357"/>
        <w:contextualSpacing w:val="0"/>
        <w:rPr>
          <w:rFonts w:ascii="Arial" w:hAnsi="Arial" w:cs="Arial"/>
        </w:rPr>
      </w:pPr>
      <w:r w:rsidRPr="00DA4AA9">
        <w:rPr>
          <w:rFonts w:ascii="Arial" w:hAnsi="Arial" w:cs="Arial"/>
          <w:b/>
          <w:bCs/>
        </w:rPr>
        <w:t xml:space="preserve">Lack of </w:t>
      </w:r>
      <w:r w:rsidR="000E3B68">
        <w:rPr>
          <w:rFonts w:ascii="Arial" w:hAnsi="Arial" w:cs="Arial"/>
          <w:b/>
          <w:bCs/>
        </w:rPr>
        <w:t>p</w:t>
      </w:r>
      <w:r w:rsidRPr="00DA4AA9">
        <w:rPr>
          <w:rFonts w:ascii="Arial" w:hAnsi="Arial" w:cs="Arial"/>
          <w:b/>
          <w:bCs/>
        </w:rPr>
        <w:t xml:space="preserve">roper </w:t>
      </w:r>
      <w:r w:rsidR="000E3B68">
        <w:rPr>
          <w:rFonts w:ascii="Arial" w:hAnsi="Arial" w:cs="Arial"/>
          <w:b/>
          <w:bCs/>
        </w:rPr>
        <w:t>g</w:t>
      </w:r>
      <w:r w:rsidRPr="00DA4AA9">
        <w:rPr>
          <w:rFonts w:ascii="Arial" w:hAnsi="Arial" w:cs="Arial"/>
          <w:b/>
          <w:bCs/>
        </w:rPr>
        <w:t>rounding (NEC and IEEE Standards Violation)</w:t>
      </w:r>
    </w:p>
    <w:p w:rsidR="004B0D3C" w:rsidRPr="00DA4AA9" w:rsidRDefault="00E07DE4" w:rsidP="000E3B68">
      <w:pPr>
        <w:jc w:val="both"/>
        <w:rPr>
          <w:rFonts w:ascii="Arial" w:hAnsi="Arial" w:cs="Arial"/>
        </w:rPr>
      </w:pPr>
      <w:r w:rsidRPr="00DA4AA9">
        <w:rPr>
          <w:rFonts w:ascii="Arial" w:hAnsi="Arial" w:cs="Arial"/>
        </w:rPr>
        <w:t>The system was inadequately grounded, which violated both NEC and IEEE 1547 standards. This lack of grounding created a significant safety hazard, as it increased the risk of electric shock and contributed to the system's frequent inverter shutdowns due to grounding faults.</w:t>
      </w:r>
    </w:p>
    <w:p w:rsidR="00E07DE4" w:rsidRPr="00DA4AA9" w:rsidRDefault="00E07DE4" w:rsidP="00DA4AA9">
      <w:pPr>
        <w:pStyle w:val="ListParagraph"/>
        <w:numPr>
          <w:ilvl w:val="0"/>
          <w:numId w:val="5"/>
        </w:numPr>
        <w:adjustRightInd w:val="0"/>
        <w:snapToGrid w:val="0"/>
        <w:ind w:left="357" w:hanging="357"/>
        <w:contextualSpacing w:val="0"/>
        <w:rPr>
          <w:rFonts w:ascii="Arial" w:hAnsi="Arial" w:cs="Arial"/>
        </w:rPr>
      </w:pPr>
      <w:r w:rsidRPr="00DA4AA9">
        <w:rPr>
          <w:rFonts w:ascii="Arial" w:hAnsi="Arial" w:cs="Arial"/>
          <w:b/>
          <w:bCs/>
        </w:rPr>
        <w:t xml:space="preserve">Failure to </w:t>
      </w:r>
      <w:r w:rsidR="002C4EA5" w:rsidRPr="00DA4AA9">
        <w:rPr>
          <w:rFonts w:ascii="Arial" w:hAnsi="Arial" w:cs="Arial"/>
          <w:b/>
          <w:bCs/>
        </w:rPr>
        <w:t xml:space="preserve">follow </w:t>
      </w:r>
      <w:r w:rsidR="002C4EA5">
        <w:rPr>
          <w:rFonts w:ascii="Arial" w:hAnsi="Arial" w:cs="Arial"/>
          <w:b/>
          <w:bCs/>
        </w:rPr>
        <w:t>OSHA</w:t>
      </w:r>
      <w:r w:rsidR="002C4EA5" w:rsidRPr="00DA4AA9">
        <w:rPr>
          <w:rFonts w:ascii="Arial" w:hAnsi="Arial" w:cs="Arial"/>
          <w:b/>
          <w:bCs/>
        </w:rPr>
        <w:t xml:space="preserve"> safety guidelines</w:t>
      </w:r>
    </w:p>
    <w:p w:rsidR="004B0D3C" w:rsidRPr="00DA4AA9" w:rsidRDefault="00E07DE4" w:rsidP="000E3B68">
      <w:pPr>
        <w:jc w:val="both"/>
        <w:rPr>
          <w:rFonts w:ascii="Arial" w:hAnsi="Arial" w:cs="Arial"/>
        </w:rPr>
      </w:pPr>
      <w:r w:rsidRPr="00DA4AA9">
        <w:rPr>
          <w:rFonts w:ascii="Arial" w:hAnsi="Arial" w:cs="Arial"/>
        </w:rPr>
        <w:t>During the installation, the contractor did not adhere to OSHA guidelines for fall protection and electrical safety. Workers were observed using improper personal protective equipment (PPE), and there were no lockout/tagout procedures in place. Although no serious injuries were reported, the lack of safety measures could have led to severe accidents.</w:t>
      </w:r>
    </w:p>
    <w:p w:rsidR="002C4EA5" w:rsidRDefault="002C4EA5" w:rsidP="00E07DE4">
      <w:pPr>
        <w:ind w:left="270"/>
        <w:rPr>
          <w:rFonts w:ascii="Arial" w:hAnsi="Arial" w:cs="Arial"/>
          <w:b/>
          <w:bCs/>
        </w:rPr>
      </w:pPr>
    </w:p>
    <w:p w:rsidR="00E07DE4" w:rsidRPr="002C4EA5" w:rsidRDefault="00E07DE4" w:rsidP="002C4EA5">
      <w:pPr>
        <w:spacing w:after="120"/>
        <w:rPr>
          <w:rFonts w:ascii="Arial" w:hAnsi="Arial" w:cs="Arial"/>
          <w:b/>
          <w:bCs/>
          <w:color w:val="C00000"/>
          <w:lang w:val="en-GB"/>
        </w:rPr>
      </w:pPr>
      <w:r w:rsidRPr="002C4EA5">
        <w:rPr>
          <w:rFonts w:ascii="Arial" w:hAnsi="Arial" w:cs="Arial"/>
          <w:b/>
          <w:bCs/>
          <w:color w:val="C00000"/>
          <w:lang w:val="en-GB"/>
        </w:rPr>
        <w:lastRenderedPageBreak/>
        <w:t>Consequences</w:t>
      </w:r>
      <w:r w:rsidR="00E77F2A" w:rsidRPr="002C4EA5">
        <w:rPr>
          <w:rFonts w:ascii="Arial" w:hAnsi="Arial" w:cs="Arial"/>
          <w:b/>
          <w:bCs/>
          <w:color w:val="C00000"/>
          <w:lang w:val="en-GB"/>
        </w:rPr>
        <w:t xml:space="preserve"> of non-compliance </w:t>
      </w:r>
      <w:r w:rsidR="004F46EE" w:rsidRPr="002C4EA5">
        <w:rPr>
          <w:rFonts w:ascii="Arial" w:hAnsi="Arial" w:cs="Arial"/>
          <w:b/>
          <w:bCs/>
          <w:color w:val="C00000"/>
          <w:lang w:val="en-GB"/>
        </w:rPr>
        <w:t xml:space="preserve">with </w:t>
      </w:r>
      <w:r w:rsidR="00E77F2A" w:rsidRPr="002C4EA5">
        <w:rPr>
          <w:rFonts w:ascii="Arial" w:hAnsi="Arial" w:cs="Arial"/>
          <w:b/>
          <w:bCs/>
          <w:color w:val="C00000"/>
          <w:lang w:val="en-GB"/>
        </w:rPr>
        <w:t>technical standards and guidelines</w:t>
      </w:r>
    </w:p>
    <w:p w:rsidR="00E07DE4" w:rsidRPr="00DA4AA9" w:rsidRDefault="00E07DE4" w:rsidP="002C4EA5">
      <w:pPr>
        <w:rPr>
          <w:rFonts w:ascii="Arial" w:hAnsi="Arial" w:cs="Arial"/>
        </w:rPr>
      </w:pPr>
      <w:r w:rsidRPr="00DA4AA9">
        <w:rPr>
          <w:rFonts w:ascii="Arial" w:hAnsi="Arial" w:cs="Arial"/>
        </w:rPr>
        <w:t>The failure to adhere to these standards had several severe consequences:</w:t>
      </w:r>
    </w:p>
    <w:p w:rsidR="004B0D3C" w:rsidRPr="002C4EA5" w:rsidRDefault="00E07DE4" w:rsidP="002C4EA5">
      <w:pPr>
        <w:pStyle w:val="ListParagraph"/>
        <w:numPr>
          <w:ilvl w:val="0"/>
          <w:numId w:val="6"/>
        </w:numPr>
        <w:ind w:left="357" w:hanging="357"/>
        <w:jc w:val="both"/>
        <w:rPr>
          <w:rFonts w:ascii="Arial" w:hAnsi="Arial" w:cs="Arial"/>
        </w:rPr>
      </w:pPr>
      <w:r w:rsidRPr="002C4EA5">
        <w:rPr>
          <w:rFonts w:ascii="Arial" w:hAnsi="Arial" w:cs="Arial"/>
          <w:b/>
          <w:bCs/>
        </w:rPr>
        <w:t xml:space="preserve">System </w:t>
      </w:r>
      <w:r w:rsidR="002C4EA5">
        <w:rPr>
          <w:rFonts w:ascii="Arial" w:hAnsi="Arial" w:cs="Arial"/>
          <w:b/>
          <w:bCs/>
        </w:rPr>
        <w:t>d</w:t>
      </w:r>
      <w:r w:rsidRPr="002C4EA5">
        <w:rPr>
          <w:rFonts w:ascii="Arial" w:hAnsi="Arial" w:cs="Arial"/>
          <w:b/>
          <w:bCs/>
        </w:rPr>
        <w:t xml:space="preserve">owntime and </w:t>
      </w:r>
      <w:r w:rsidR="002C4EA5">
        <w:rPr>
          <w:rFonts w:ascii="Arial" w:hAnsi="Arial" w:cs="Arial"/>
          <w:b/>
          <w:bCs/>
        </w:rPr>
        <w:t>f</w:t>
      </w:r>
      <w:r w:rsidRPr="002C4EA5">
        <w:rPr>
          <w:rFonts w:ascii="Arial" w:hAnsi="Arial" w:cs="Arial"/>
          <w:b/>
          <w:bCs/>
        </w:rPr>
        <w:t xml:space="preserve">inancial </w:t>
      </w:r>
      <w:r w:rsidR="002C4EA5">
        <w:rPr>
          <w:rFonts w:ascii="Arial" w:hAnsi="Arial" w:cs="Arial"/>
          <w:b/>
          <w:bCs/>
        </w:rPr>
        <w:t>l</w:t>
      </w:r>
      <w:r w:rsidRPr="002C4EA5">
        <w:rPr>
          <w:rFonts w:ascii="Arial" w:hAnsi="Arial" w:cs="Arial"/>
          <w:b/>
          <w:bCs/>
        </w:rPr>
        <w:t>oss</w:t>
      </w:r>
      <w:r w:rsidRPr="002C4EA5">
        <w:rPr>
          <w:rFonts w:ascii="Arial" w:hAnsi="Arial" w:cs="Arial"/>
        </w:rPr>
        <w:t>: The frequent faults and eventual fire led to significant system downtime, causing the building owner to lose the expected savings on electricity. The cost of repairs and replacing damaged components further added to the</w:t>
      </w:r>
      <w:r w:rsidR="004F46EE" w:rsidRPr="002C4EA5">
        <w:rPr>
          <w:rFonts w:ascii="Arial" w:hAnsi="Arial" w:cs="Arial"/>
        </w:rPr>
        <w:t>ir</w:t>
      </w:r>
      <w:r w:rsidRPr="002C4EA5">
        <w:rPr>
          <w:rFonts w:ascii="Arial" w:hAnsi="Arial" w:cs="Arial"/>
        </w:rPr>
        <w:t xml:space="preserve"> financial burden.</w:t>
      </w:r>
    </w:p>
    <w:p w:rsidR="004B0D3C" w:rsidRPr="002C4EA5" w:rsidRDefault="00E07DE4" w:rsidP="002C4EA5">
      <w:pPr>
        <w:pStyle w:val="ListParagraph"/>
        <w:numPr>
          <w:ilvl w:val="0"/>
          <w:numId w:val="6"/>
        </w:numPr>
        <w:ind w:left="357" w:hanging="357"/>
        <w:jc w:val="both"/>
        <w:rPr>
          <w:rFonts w:ascii="Arial" w:hAnsi="Arial" w:cs="Arial"/>
        </w:rPr>
      </w:pPr>
      <w:r w:rsidRPr="002C4EA5">
        <w:rPr>
          <w:rFonts w:ascii="Arial" w:hAnsi="Arial" w:cs="Arial"/>
          <w:b/>
          <w:bCs/>
        </w:rPr>
        <w:t xml:space="preserve">Safety </w:t>
      </w:r>
      <w:r w:rsidR="002C4EA5">
        <w:rPr>
          <w:rFonts w:ascii="Arial" w:hAnsi="Arial" w:cs="Arial"/>
          <w:b/>
          <w:bCs/>
        </w:rPr>
        <w:t>h</w:t>
      </w:r>
      <w:r w:rsidRPr="002C4EA5">
        <w:rPr>
          <w:rFonts w:ascii="Arial" w:hAnsi="Arial" w:cs="Arial"/>
          <w:b/>
          <w:bCs/>
        </w:rPr>
        <w:t>azards</w:t>
      </w:r>
      <w:r w:rsidRPr="002C4EA5">
        <w:rPr>
          <w:rFonts w:ascii="Arial" w:hAnsi="Arial" w:cs="Arial"/>
        </w:rPr>
        <w:t>: The improper installation practices created numerous safety hazards, including the risk of electric shock, fire, and injury to workers and building occupants.</w:t>
      </w:r>
    </w:p>
    <w:p w:rsidR="004B0D3C" w:rsidRPr="002C4EA5" w:rsidRDefault="00E07DE4" w:rsidP="002C4EA5">
      <w:pPr>
        <w:pStyle w:val="ListParagraph"/>
        <w:numPr>
          <w:ilvl w:val="0"/>
          <w:numId w:val="6"/>
        </w:numPr>
        <w:ind w:left="357" w:hanging="357"/>
        <w:jc w:val="both"/>
        <w:rPr>
          <w:rFonts w:ascii="Arial" w:hAnsi="Arial" w:cs="Arial"/>
        </w:rPr>
      </w:pPr>
      <w:r w:rsidRPr="002C4EA5">
        <w:rPr>
          <w:rFonts w:ascii="Arial" w:hAnsi="Arial" w:cs="Arial"/>
          <w:b/>
          <w:bCs/>
        </w:rPr>
        <w:t xml:space="preserve">Legal and </w:t>
      </w:r>
      <w:r w:rsidR="002C4EA5">
        <w:rPr>
          <w:rFonts w:ascii="Arial" w:hAnsi="Arial" w:cs="Arial"/>
          <w:b/>
          <w:bCs/>
        </w:rPr>
        <w:t>r</w:t>
      </w:r>
      <w:r w:rsidRPr="002C4EA5">
        <w:rPr>
          <w:rFonts w:ascii="Arial" w:hAnsi="Arial" w:cs="Arial"/>
          <w:b/>
          <w:bCs/>
        </w:rPr>
        <w:t xml:space="preserve">egulatory </w:t>
      </w:r>
      <w:r w:rsidR="002C4EA5">
        <w:rPr>
          <w:rFonts w:ascii="Arial" w:hAnsi="Arial" w:cs="Arial"/>
          <w:b/>
          <w:bCs/>
        </w:rPr>
        <w:t>r</w:t>
      </w:r>
      <w:r w:rsidRPr="002C4EA5">
        <w:rPr>
          <w:rFonts w:ascii="Arial" w:hAnsi="Arial" w:cs="Arial"/>
          <w:b/>
          <w:bCs/>
        </w:rPr>
        <w:t>epercussions</w:t>
      </w:r>
      <w:r w:rsidRPr="002C4EA5">
        <w:rPr>
          <w:rFonts w:ascii="Arial" w:hAnsi="Arial" w:cs="Arial"/>
        </w:rPr>
        <w:t>: The building owner filed a lawsuit against the contractor for negligence and non-compliance with industry standards.</w:t>
      </w:r>
    </w:p>
    <w:p w:rsidR="004B0D3C" w:rsidRPr="002C4EA5" w:rsidRDefault="00E07DE4" w:rsidP="002C4EA5">
      <w:pPr>
        <w:spacing w:after="120"/>
        <w:rPr>
          <w:rFonts w:ascii="Arial" w:hAnsi="Arial" w:cs="Arial"/>
          <w:b/>
          <w:bCs/>
          <w:color w:val="C00000"/>
          <w:lang w:val="en-GB"/>
        </w:rPr>
      </w:pPr>
      <w:r w:rsidRPr="002C4EA5">
        <w:rPr>
          <w:rFonts w:ascii="Arial" w:hAnsi="Arial" w:cs="Arial"/>
          <w:b/>
          <w:bCs/>
          <w:color w:val="C00000"/>
          <w:lang w:val="en-GB"/>
        </w:rPr>
        <w:t xml:space="preserve">Lessons </w:t>
      </w:r>
      <w:r w:rsidR="002C4EA5">
        <w:rPr>
          <w:rFonts w:ascii="Arial" w:hAnsi="Arial" w:cs="Arial"/>
          <w:b/>
          <w:bCs/>
          <w:color w:val="C00000"/>
          <w:lang w:val="en-GB"/>
        </w:rPr>
        <w:t>l</w:t>
      </w:r>
      <w:r w:rsidRPr="002C4EA5">
        <w:rPr>
          <w:rFonts w:ascii="Arial" w:hAnsi="Arial" w:cs="Arial"/>
          <w:b/>
          <w:bCs/>
          <w:color w:val="C00000"/>
          <w:lang w:val="en-GB"/>
        </w:rPr>
        <w:t>earned</w:t>
      </w:r>
    </w:p>
    <w:p w:rsidR="004B0D3C" w:rsidRPr="00DA4AA9" w:rsidRDefault="00E07DE4" w:rsidP="00DA4AA9">
      <w:pPr>
        <w:ind w:left="270"/>
        <w:jc w:val="both"/>
        <w:rPr>
          <w:rFonts w:ascii="Arial" w:hAnsi="Arial" w:cs="Arial"/>
        </w:rPr>
      </w:pPr>
      <w:r w:rsidRPr="00DA4AA9">
        <w:rPr>
          <w:rFonts w:ascii="Arial" w:hAnsi="Arial" w:cs="Arial"/>
        </w:rPr>
        <w:t>This case highlights the importance of adhering to professional and technical standards in solar PV installations. Key takeaways include:</w:t>
      </w:r>
    </w:p>
    <w:p w:rsidR="004B0D3C" w:rsidRPr="00DA4AA9" w:rsidRDefault="00E07DE4" w:rsidP="002C4EA5">
      <w:pPr>
        <w:numPr>
          <w:ilvl w:val="0"/>
          <w:numId w:val="7"/>
        </w:numPr>
        <w:adjustRightInd w:val="0"/>
        <w:snapToGrid w:val="0"/>
        <w:ind w:left="357" w:hanging="357"/>
        <w:jc w:val="both"/>
        <w:rPr>
          <w:rFonts w:ascii="Arial" w:hAnsi="Arial" w:cs="Arial"/>
        </w:rPr>
      </w:pPr>
      <w:r w:rsidRPr="00DA4AA9">
        <w:rPr>
          <w:rFonts w:ascii="Arial" w:hAnsi="Arial" w:cs="Arial"/>
          <w:b/>
          <w:bCs/>
        </w:rPr>
        <w:t xml:space="preserve">Strict </w:t>
      </w:r>
      <w:r w:rsidR="002C4EA5" w:rsidRPr="00DA4AA9">
        <w:rPr>
          <w:rFonts w:ascii="Arial" w:hAnsi="Arial" w:cs="Arial"/>
          <w:b/>
          <w:bCs/>
        </w:rPr>
        <w:t>compliance</w:t>
      </w:r>
      <w:r w:rsidRPr="00DA4AA9">
        <w:rPr>
          <w:rFonts w:ascii="Arial" w:hAnsi="Arial" w:cs="Arial"/>
          <w:b/>
          <w:bCs/>
        </w:rPr>
        <w:t xml:space="preserve"> with </w:t>
      </w:r>
      <w:r w:rsidR="002C4EA5">
        <w:rPr>
          <w:rFonts w:ascii="Arial" w:hAnsi="Arial" w:cs="Arial"/>
          <w:b/>
          <w:bCs/>
        </w:rPr>
        <w:t>e</w:t>
      </w:r>
      <w:r w:rsidRPr="00DA4AA9">
        <w:rPr>
          <w:rFonts w:ascii="Arial" w:hAnsi="Arial" w:cs="Arial"/>
          <w:b/>
          <w:bCs/>
        </w:rPr>
        <w:t xml:space="preserve">lectrical </w:t>
      </w:r>
      <w:r w:rsidR="002C4EA5">
        <w:rPr>
          <w:rFonts w:ascii="Arial" w:hAnsi="Arial" w:cs="Arial"/>
          <w:b/>
          <w:bCs/>
        </w:rPr>
        <w:t>s</w:t>
      </w:r>
      <w:r w:rsidRPr="00DA4AA9">
        <w:rPr>
          <w:rFonts w:ascii="Arial" w:hAnsi="Arial" w:cs="Arial"/>
          <w:b/>
          <w:bCs/>
        </w:rPr>
        <w:t>tandards</w:t>
      </w:r>
      <w:r w:rsidRPr="00DA4AA9">
        <w:rPr>
          <w:rFonts w:ascii="Arial" w:hAnsi="Arial" w:cs="Arial"/>
        </w:rPr>
        <w:t>: Adhering to NEC, IEC, and IEEE standards is non-negotiable for ensuring the safety and efficiency of solar PV systems. Proper wiring, grounding, and the use of compliant components are essential to avoid failures.</w:t>
      </w:r>
    </w:p>
    <w:p w:rsidR="004B0D3C" w:rsidRPr="00DA4AA9" w:rsidRDefault="00E07DE4" w:rsidP="002C4EA5">
      <w:pPr>
        <w:numPr>
          <w:ilvl w:val="0"/>
          <w:numId w:val="7"/>
        </w:numPr>
        <w:adjustRightInd w:val="0"/>
        <w:snapToGrid w:val="0"/>
        <w:ind w:left="357" w:hanging="357"/>
        <w:jc w:val="both"/>
        <w:rPr>
          <w:rFonts w:ascii="Arial" w:hAnsi="Arial" w:cs="Arial"/>
        </w:rPr>
      </w:pPr>
      <w:r w:rsidRPr="00DA4AA9">
        <w:rPr>
          <w:rFonts w:ascii="Arial" w:hAnsi="Arial" w:cs="Arial"/>
          <w:b/>
          <w:bCs/>
        </w:rPr>
        <w:t xml:space="preserve">Importance of </w:t>
      </w:r>
      <w:r w:rsidR="002C4EA5" w:rsidRPr="00DA4AA9">
        <w:rPr>
          <w:rFonts w:ascii="Arial" w:hAnsi="Arial" w:cs="Arial"/>
          <w:b/>
          <w:bCs/>
        </w:rPr>
        <w:t>using qualified contractors</w:t>
      </w:r>
      <w:r w:rsidRPr="00DA4AA9">
        <w:rPr>
          <w:rFonts w:ascii="Arial" w:hAnsi="Arial" w:cs="Arial"/>
        </w:rPr>
        <w:t>: Building owners must ensure that contractors have the necessary qualifications, experience, and understanding of solar PV standards before commissioning a project.</w:t>
      </w:r>
    </w:p>
    <w:p w:rsidR="004B0D3C" w:rsidRPr="00DA4AA9" w:rsidRDefault="00E07DE4" w:rsidP="002C4EA5">
      <w:pPr>
        <w:numPr>
          <w:ilvl w:val="0"/>
          <w:numId w:val="7"/>
        </w:numPr>
        <w:adjustRightInd w:val="0"/>
        <w:snapToGrid w:val="0"/>
        <w:ind w:left="357" w:hanging="357"/>
        <w:jc w:val="both"/>
        <w:rPr>
          <w:rFonts w:ascii="Arial" w:hAnsi="Arial" w:cs="Arial"/>
        </w:rPr>
      </w:pPr>
      <w:r w:rsidRPr="00DA4AA9">
        <w:rPr>
          <w:rFonts w:ascii="Arial" w:hAnsi="Arial" w:cs="Arial"/>
          <w:b/>
          <w:bCs/>
        </w:rPr>
        <w:t>Regular Inspections and Audits</w:t>
      </w:r>
      <w:r w:rsidRPr="00DA4AA9">
        <w:rPr>
          <w:rFonts w:ascii="Arial" w:hAnsi="Arial" w:cs="Arial"/>
        </w:rPr>
        <w:t>: Regular inspections and audits by third-party professionals can help identify and rectify non-compliance issues before they lead to system failures or safety hazards.</w:t>
      </w:r>
    </w:p>
    <w:p w:rsidR="004B0D3C" w:rsidRPr="00DA4AA9" w:rsidRDefault="00E07DE4" w:rsidP="002C4EA5">
      <w:pPr>
        <w:numPr>
          <w:ilvl w:val="0"/>
          <w:numId w:val="7"/>
        </w:numPr>
        <w:adjustRightInd w:val="0"/>
        <w:snapToGrid w:val="0"/>
        <w:ind w:left="357" w:hanging="357"/>
        <w:jc w:val="both"/>
        <w:rPr>
          <w:rFonts w:ascii="Arial" w:hAnsi="Arial" w:cs="Arial"/>
        </w:rPr>
      </w:pPr>
      <w:r w:rsidRPr="00DA4AA9">
        <w:rPr>
          <w:rFonts w:ascii="Arial" w:hAnsi="Arial" w:cs="Arial"/>
          <w:b/>
          <w:bCs/>
        </w:rPr>
        <w:t xml:space="preserve">Prioritizing </w:t>
      </w:r>
      <w:r w:rsidR="002C4EA5" w:rsidRPr="00DA4AA9">
        <w:rPr>
          <w:rFonts w:ascii="Arial" w:hAnsi="Arial" w:cs="Arial"/>
          <w:b/>
          <w:bCs/>
        </w:rPr>
        <w:t>safety</w:t>
      </w:r>
      <w:r w:rsidRPr="00DA4AA9">
        <w:rPr>
          <w:rFonts w:ascii="Arial" w:hAnsi="Arial" w:cs="Arial"/>
        </w:rPr>
        <w:t>: Following OSHA safety guidelines and implementing proper safety procedures, such as lockout/tagout and fall protection, are crucial in protecting workers and preventing accidents.</w:t>
      </w:r>
    </w:p>
    <w:p w:rsidR="003916A3" w:rsidRPr="00DA4AA9" w:rsidRDefault="003916A3" w:rsidP="00DA4AA9">
      <w:pPr>
        <w:jc w:val="both"/>
        <w:rPr>
          <w:rFonts w:ascii="Arial" w:hAnsi="Arial" w:cs="Arial"/>
        </w:rPr>
      </w:pPr>
    </w:p>
    <w:sectPr w:rsidR="003916A3" w:rsidRPr="00DA4AA9" w:rsidSect="00DA4AA9">
      <w:headerReference w:type="default" r:id="rId7"/>
      <w:footerReference w:type="even" r:id="rId8"/>
      <w:footerReference w:type="default" r:id="rId9"/>
      <w:footerReference w:type="first" r:id="rId10"/>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C64E9" w:rsidRDefault="00DC64E9" w:rsidP="00DA4AA9">
      <w:pPr>
        <w:spacing w:after="0" w:line="240" w:lineRule="auto"/>
      </w:pPr>
      <w:r>
        <w:separator/>
      </w:r>
    </w:p>
  </w:endnote>
  <w:endnote w:type="continuationSeparator" w:id="0">
    <w:p w:rsidR="00DC64E9" w:rsidRDefault="00DC64E9" w:rsidP="00DA4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2840142"/>
      <w:docPartObj>
        <w:docPartGallery w:val="Page Numbers (Bottom of Page)"/>
        <w:docPartUnique/>
      </w:docPartObj>
    </w:sdtPr>
    <w:sdtContent>
      <w:p w:rsidR="002C4EA5" w:rsidRDefault="002C4EA5" w:rsidP="00C4029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2C4EA5" w:rsidRDefault="002C4EA5" w:rsidP="002C4E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8433154"/>
      <w:docPartObj>
        <w:docPartGallery w:val="Page Numbers (Bottom of Page)"/>
        <w:docPartUnique/>
      </w:docPartObj>
    </w:sdtPr>
    <w:sdtContent>
      <w:p w:rsidR="002C4EA5" w:rsidRDefault="002C4EA5" w:rsidP="00C40298">
        <w:pPr>
          <w:pStyle w:val="Footer"/>
          <w:framePr w:wrap="none" w:vAnchor="text" w:hAnchor="margin" w:xAlign="right" w:y="1"/>
          <w:rPr>
            <w:rStyle w:val="PageNumber"/>
          </w:rPr>
        </w:pPr>
        <w:r w:rsidRPr="002C4EA5">
          <w:rPr>
            <w:rStyle w:val="PageNumber"/>
            <w:rFonts w:ascii="Arial" w:hAnsi="Arial" w:cs="Arial"/>
            <w:b/>
            <w:bCs/>
            <w:color w:val="C00000"/>
            <w:sz w:val="18"/>
            <w:szCs w:val="18"/>
          </w:rPr>
          <w:fldChar w:fldCharType="begin"/>
        </w:r>
        <w:r w:rsidRPr="002C4EA5">
          <w:rPr>
            <w:rStyle w:val="PageNumber"/>
            <w:rFonts w:ascii="Arial" w:hAnsi="Arial" w:cs="Arial"/>
            <w:b/>
            <w:bCs/>
            <w:color w:val="C00000"/>
            <w:sz w:val="18"/>
            <w:szCs w:val="18"/>
          </w:rPr>
          <w:instrText xml:space="preserve"> PAGE </w:instrText>
        </w:r>
        <w:r w:rsidRPr="002C4EA5">
          <w:rPr>
            <w:rStyle w:val="PageNumber"/>
            <w:rFonts w:ascii="Arial" w:hAnsi="Arial" w:cs="Arial"/>
            <w:b/>
            <w:bCs/>
            <w:color w:val="C00000"/>
            <w:sz w:val="18"/>
            <w:szCs w:val="18"/>
          </w:rPr>
          <w:fldChar w:fldCharType="separate"/>
        </w:r>
        <w:r w:rsidRPr="002C4EA5">
          <w:rPr>
            <w:rStyle w:val="PageNumber"/>
            <w:rFonts w:ascii="Arial" w:hAnsi="Arial" w:cs="Arial"/>
            <w:b/>
            <w:bCs/>
            <w:noProof/>
            <w:color w:val="C00000"/>
            <w:sz w:val="18"/>
            <w:szCs w:val="18"/>
          </w:rPr>
          <w:t>2</w:t>
        </w:r>
        <w:r w:rsidRPr="002C4EA5">
          <w:rPr>
            <w:rStyle w:val="PageNumber"/>
            <w:rFonts w:ascii="Arial" w:hAnsi="Arial" w:cs="Arial"/>
            <w:b/>
            <w:bCs/>
            <w:color w:val="C00000"/>
            <w:sz w:val="18"/>
            <w:szCs w:val="18"/>
          </w:rPr>
          <w:fldChar w:fldCharType="end"/>
        </w:r>
      </w:p>
    </w:sdtContent>
  </w:sdt>
  <w:p w:rsidR="002C4EA5" w:rsidRDefault="002C4EA5" w:rsidP="002C4EA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4AA9" w:rsidRDefault="00DA4AA9" w:rsidP="00DA4AA9">
    <w:pPr>
      <w:pStyle w:val="Footer"/>
      <w:ind w:right="360"/>
      <w:jc w:val="both"/>
      <w:rPr>
        <w:rFonts w:ascii="Arial" w:hAnsi="Arial" w:cs="Arial"/>
        <w:i/>
        <w:iCs/>
        <w:color w:val="7F7F7F" w:themeColor="text1" w:themeTint="80"/>
        <w:sz w:val="16"/>
        <w:szCs w:val="21"/>
      </w:rPr>
    </w:pPr>
  </w:p>
  <w:sdt>
    <w:sdtPr>
      <w:rPr>
        <w:rStyle w:val="PageNumber"/>
      </w:rPr>
      <w:id w:val="755795970"/>
      <w:docPartObj>
        <w:docPartGallery w:val="Page Numbers (Bottom of Page)"/>
        <w:docPartUnique/>
      </w:docPartObj>
    </w:sdtPr>
    <w:sdtEndPr>
      <w:rPr>
        <w:rStyle w:val="DefaultParagraphFont"/>
        <w:rFonts w:ascii="Avenir Book" w:hAnsi="Avenir Book"/>
        <w:b/>
        <w:noProof/>
        <w:color w:val="C00000"/>
        <w:sz w:val="18"/>
        <w:szCs w:val="18"/>
      </w:rPr>
    </w:sdtEndPr>
    <w:sdtContent>
      <w:p w:rsidR="00DA4AA9" w:rsidRPr="0070009F" w:rsidRDefault="00DA4AA9" w:rsidP="00DA4AA9">
        <w:pPr>
          <w:pStyle w:val="Footer"/>
          <w:framePr w:w="301" w:h="385" w:hRule="exact" w:wrap="none" w:vAnchor="text" w:hAnchor="page" w:x="10417" w:y="1"/>
          <w:rPr>
            <w:rFonts w:ascii="Avenir Book" w:hAnsi="Avenir Book"/>
            <w:b/>
            <w:noProof/>
            <w:color w:val="C00000"/>
            <w:sz w:val="18"/>
            <w:szCs w:val="18"/>
          </w:rPr>
        </w:pPr>
        <w:r w:rsidRPr="0070009F">
          <w:rPr>
            <w:rFonts w:ascii="Avenir Book" w:hAnsi="Avenir Book"/>
            <w:b/>
            <w:noProof/>
            <w:color w:val="C00000"/>
            <w:sz w:val="18"/>
            <w:szCs w:val="18"/>
          </w:rPr>
          <w:fldChar w:fldCharType="begin"/>
        </w:r>
        <w:r w:rsidRPr="0070009F">
          <w:rPr>
            <w:rFonts w:ascii="Avenir Book" w:hAnsi="Avenir Book"/>
            <w:b/>
            <w:noProof/>
            <w:color w:val="C00000"/>
            <w:sz w:val="18"/>
            <w:szCs w:val="18"/>
          </w:rPr>
          <w:instrText xml:space="preserve"> PAGE </w:instrText>
        </w:r>
        <w:r w:rsidRPr="0070009F">
          <w:rPr>
            <w:rFonts w:ascii="Avenir Book" w:hAnsi="Avenir Book"/>
            <w:b/>
            <w:noProof/>
            <w:color w:val="C00000"/>
            <w:sz w:val="18"/>
            <w:szCs w:val="18"/>
          </w:rPr>
          <w:fldChar w:fldCharType="separate"/>
        </w:r>
        <w:r>
          <w:rPr>
            <w:rFonts w:ascii="Avenir Book" w:hAnsi="Avenir Book"/>
            <w:b/>
            <w:noProof/>
            <w:color w:val="C00000"/>
            <w:sz w:val="18"/>
            <w:szCs w:val="18"/>
          </w:rPr>
          <w:t>1</w:t>
        </w:r>
        <w:r w:rsidRPr="0070009F">
          <w:rPr>
            <w:rFonts w:ascii="Avenir Book" w:hAnsi="Avenir Book"/>
            <w:b/>
            <w:noProof/>
            <w:color w:val="C00000"/>
            <w:sz w:val="18"/>
            <w:szCs w:val="18"/>
          </w:rPr>
          <w:fldChar w:fldCharType="end"/>
        </w:r>
      </w:p>
    </w:sdtContent>
  </w:sdt>
  <w:p w:rsidR="00DA4AA9" w:rsidRPr="00E243B3" w:rsidRDefault="00DA4AA9" w:rsidP="00DA4AA9">
    <w:pPr>
      <w:pStyle w:val="Footer"/>
      <w:ind w:right="360"/>
      <w:jc w:val="both"/>
      <w:rPr>
        <w:rFonts w:ascii="Arial" w:hAnsi="Arial" w:cs="Arial"/>
        <w:b/>
        <w:noProof/>
        <w:color w:val="C00000"/>
      </w:rPr>
    </w:pPr>
    <w:r w:rsidRPr="00BA0B15">
      <w:rPr>
        <w:rFonts w:ascii="Arial" w:hAnsi="Arial" w:cs="Arial"/>
        <w:i/>
        <w:iCs/>
        <w:color w:val="7F7F7F" w:themeColor="text1" w:themeTint="80"/>
        <w:sz w:val="16"/>
        <w:szCs w:val="21"/>
      </w:rPr>
      <w:t xml:space="preserve">September 2024 | Published by Alternative Energy Promotion Centre (AEPC) with support of Deutsche Gesellschaft für </w:t>
    </w:r>
    <w:proofErr w:type="spellStart"/>
    <w:r w:rsidRPr="00BA0B15">
      <w:rPr>
        <w:rFonts w:ascii="Arial" w:hAnsi="Arial" w:cs="Arial"/>
        <w:i/>
        <w:iCs/>
        <w:color w:val="7F7F7F" w:themeColor="text1" w:themeTint="80"/>
        <w:sz w:val="16"/>
        <w:szCs w:val="21"/>
      </w:rPr>
      <w:t>Internationale</w:t>
    </w:r>
    <w:proofErr w:type="spellEnd"/>
    <w:r w:rsidRPr="00BA0B15">
      <w:rPr>
        <w:rFonts w:ascii="Arial" w:hAnsi="Arial" w:cs="Arial"/>
        <w:i/>
        <w:iCs/>
        <w:color w:val="7F7F7F" w:themeColor="text1" w:themeTint="80"/>
        <w:sz w:val="16"/>
        <w:szCs w:val="21"/>
      </w:rPr>
      <w:t xml:space="preserve"> </w:t>
    </w:r>
    <w:proofErr w:type="spellStart"/>
    <w:r w:rsidRPr="00BA0B15">
      <w:rPr>
        <w:rFonts w:ascii="Arial" w:hAnsi="Arial" w:cs="Arial"/>
        <w:i/>
        <w:iCs/>
        <w:color w:val="7F7F7F" w:themeColor="text1" w:themeTint="80"/>
        <w:sz w:val="16"/>
        <w:szCs w:val="21"/>
      </w:rPr>
      <w:t>Zusammenarbeit</w:t>
    </w:r>
    <w:proofErr w:type="spellEnd"/>
    <w:r w:rsidRPr="00BA0B15">
      <w:rPr>
        <w:rFonts w:ascii="Arial" w:hAnsi="Arial" w:cs="Arial"/>
        <w:i/>
        <w:iCs/>
        <w:color w:val="7F7F7F" w:themeColor="text1" w:themeTint="80"/>
        <w:sz w:val="16"/>
        <w:szCs w:val="21"/>
      </w:rPr>
      <w:t xml:space="preserve"> (GIZ) GmbH under the project Promotion of Solar Technologies for Economic Development (POSTED). Developed by Integration Umwelt &amp; </w:t>
    </w:r>
    <w:proofErr w:type="spellStart"/>
    <w:r w:rsidRPr="00BA0B15">
      <w:rPr>
        <w:rFonts w:ascii="Arial" w:hAnsi="Arial" w:cs="Arial"/>
        <w:i/>
        <w:iCs/>
        <w:color w:val="7F7F7F" w:themeColor="text1" w:themeTint="80"/>
        <w:sz w:val="16"/>
        <w:szCs w:val="21"/>
      </w:rPr>
      <w:t>Energie</w:t>
    </w:r>
    <w:proofErr w:type="spellEnd"/>
    <w:r w:rsidRPr="00BA0B15">
      <w:rPr>
        <w:rFonts w:ascii="Arial" w:hAnsi="Arial" w:cs="Arial"/>
        <w:i/>
        <w:iCs/>
        <w:color w:val="7F7F7F" w:themeColor="text1" w:themeTint="80"/>
        <w:sz w:val="16"/>
        <w:szCs w:val="21"/>
      </w:rPr>
      <w:t xml:space="preserve"> GmbH, Germany.</w:t>
    </w:r>
  </w:p>
  <w:p w:rsidR="00DA4AA9" w:rsidRDefault="00DA4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C64E9" w:rsidRDefault="00DC64E9" w:rsidP="00DA4AA9">
      <w:pPr>
        <w:spacing w:after="0" w:line="240" w:lineRule="auto"/>
      </w:pPr>
      <w:r>
        <w:separator/>
      </w:r>
    </w:p>
  </w:footnote>
  <w:footnote w:type="continuationSeparator" w:id="0">
    <w:p w:rsidR="00DC64E9" w:rsidRDefault="00DC64E9" w:rsidP="00DA4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4EA5" w:rsidRDefault="002C4EA5" w:rsidP="002C4EA5">
    <w:pPr>
      <w:adjustRightInd w:val="0"/>
      <w:spacing w:after="0"/>
      <w:jc w:val="right"/>
      <w:rPr>
        <w:rFonts w:ascii="Arial" w:hAnsi="Arial" w:cs="Arial"/>
        <w:b/>
        <w:bCs/>
      </w:rPr>
    </w:pPr>
    <w:r w:rsidRPr="00E243B3">
      <w:rPr>
        <w:rFonts w:ascii="Arial" w:hAnsi="Arial" w:cs="Arial"/>
        <w:b/>
        <w:bCs/>
        <w:i/>
        <w:iCs/>
        <w:color w:val="7F7F7F" w:themeColor="text1" w:themeTint="80"/>
        <w:sz w:val="16"/>
        <w:szCs w:val="16"/>
      </w:rPr>
      <w:t xml:space="preserve">Module </w:t>
    </w:r>
    <w:r>
      <w:rPr>
        <w:rFonts w:ascii="Arial" w:hAnsi="Arial" w:cs="Arial"/>
        <w:b/>
        <w:bCs/>
        <w:i/>
        <w:iCs/>
        <w:color w:val="7F7F7F" w:themeColor="text1" w:themeTint="80"/>
        <w:sz w:val="16"/>
        <w:szCs w:val="16"/>
      </w:rPr>
      <w:t>8</w:t>
    </w:r>
    <w:r w:rsidRPr="00E243B3">
      <w:rPr>
        <w:rFonts w:ascii="Arial" w:hAnsi="Arial" w:cs="Arial"/>
        <w:b/>
        <w:bCs/>
        <w:i/>
        <w:iCs/>
        <w:color w:val="7F7F7F" w:themeColor="text1" w:themeTint="80"/>
        <w:sz w:val="16"/>
        <w:szCs w:val="16"/>
      </w:rPr>
      <w:t>:</w:t>
    </w:r>
    <w:r>
      <w:rPr>
        <w:rFonts w:ascii="Arial" w:hAnsi="Arial" w:cs="Arial"/>
        <w:b/>
        <w:bCs/>
        <w:i/>
        <w:iCs/>
        <w:color w:val="7F7F7F" w:themeColor="text1" w:themeTint="80"/>
        <w:sz w:val="16"/>
        <w:szCs w:val="16"/>
      </w:rPr>
      <w:t xml:space="preserve"> Professional development</w:t>
    </w:r>
    <w:r w:rsidRPr="002C4EA5">
      <w:rPr>
        <w:rFonts w:ascii="Arial" w:hAnsi="Arial" w:cs="Arial"/>
        <w:b/>
        <w:bCs/>
      </w:rPr>
      <w:t xml:space="preserve"> </w:t>
    </w:r>
  </w:p>
  <w:p w:rsidR="002C4EA5" w:rsidRPr="002C4EA5" w:rsidRDefault="002C4EA5" w:rsidP="002C4EA5">
    <w:pPr>
      <w:adjustRightInd w:val="0"/>
      <w:spacing w:after="0"/>
      <w:jc w:val="right"/>
      <w:rPr>
        <w:rFonts w:ascii="Arial" w:hAnsi="Arial" w:cs="Arial"/>
        <w:b/>
        <w:bCs/>
        <w:i/>
        <w:iCs/>
        <w:color w:val="7F7F7F" w:themeColor="text1" w:themeTint="80"/>
        <w:sz w:val="16"/>
        <w:szCs w:val="16"/>
      </w:rPr>
    </w:pPr>
    <w:r w:rsidRPr="002C4EA5">
      <w:rPr>
        <w:rFonts w:ascii="Arial" w:hAnsi="Arial" w:cs="Arial"/>
        <w:b/>
        <w:bCs/>
        <w:i/>
        <w:iCs/>
        <w:color w:val="7F7F7F" w:themeColor="text1" w:themeTint="80"/>
        <w:sz w:val="16"/>
        <w:szCs w:val="16"/>
      </w:rPr>
      <w:t>Case Study: Failure to follow standards in a solar PV installation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A2869"/>
    <w:multiLevelType w:val="multilevel"/>
    <w:tmpl w:val="F8D25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D7000F"/>
    <w:multiLevelType w:val="hybridMultilevel"/>
    <w:tmpl w:val="FAA2B1D0"/>
    <w:lvl w:ilvl="0" w:tplc="10B4325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143FB2"/>
    <w:multiLevelType w:val="multilevel"/>
    <w:tmpl w:val="B726DC24"/>
    <w:lvl w:ilvl="0">
      <w:start w:val="1"/>
      <w:numFmt w:val="bullet"/>
      <w:lvlText w:val=""/>
      <w:lvlJc w:val="left"/>
      <w:pPr>
        <w:ind w:left="108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215CF0"/>
    <w:multiLevelType w:val="multilevel"/>
    <w:tmpl w:val="6AC45E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D45DCB"/>
    <w:multiLevelType w:val="multilevel"/>
    <w:tmpl w:val="AEB01D5E"/>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Wingdings" w:hAnsi="Wingding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DF7B7D"/>
    <w:multiLevelType w:val="hybridMultilevel"/>
    <w:tmpl w:val="7C229C9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4995CE5"/>
    <w:multiLevelType w:val="multilevel"/>
    <w:tmpl w:val="24E8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2151512">
    <w:abstractNumId w:val="3"/>
  </w:num>
  <w:num w:numId="2" w16cid:durableId="325518101">
    <w:abstractNumId w:val="0"/>
  </w:num>
  <w:num w:numId="3" w16cid:durableId="1918321726">
    <w:abstractNumId w:val="6"/>
  </w:num>
  <w:num w:numId="4" w16cid:durableId="1994484131">
    <w:abstractNumId w:val="4"/>
  </w:num>
  <w:num w:numId="5" w16cid:durableId="1217156992">
    <w:abstractNumId w:val="1"/>
  </w:num>
  <w:num w:numId="6" w16cid:durableId="991065195">
    <w:abstractNumId w:val="5"/>
  </w:num>
  <w:num w:numId="7" w16cid:durableId="11177243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7DE4"/>
    <w:rsid w:val="00051323"/>
    <w:rsid w:val="000E3B68"/>
    <w:rsid w:val="002C4EA5"/>
    <w:rsid w:val="00376889"/>
    <w:rsid w:val="003842C8"/>
    <w:rsid w:val="003916A3"/>
    <w:rsid w:val="0049725E"/>
    <w:rsid w:val="004B0D3C"/>
    <w:rsid w:val="004E7483"/>
    <w:rsid w:val="004F46EE"/>
    <w:rsid w:val="0072734D"/>
    <w:rsid w:val="00940239"/>
    <w:rsid w:val="00DA4AA9"/>
    <w:rsid w:val="00DA73F5"/>
    <w:rsid w:val="00DC64E9"/>
    <w:rsid w:val="00E07DE4"/>
    <w:rsid w:val="00E77F2A"/>
    <w:rsid w:val="00F016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5599A"/>
  <w15:docId w15:val="{F95195CA-8489-CE4F-81EC-022AED524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D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DA73F5"/>
    <w:pPr>
      <w:spacing w:after="0" w:line="240" w:lineRule="auto"/>
    </w:pPr>
  </w:style>
  <w:style w:type="paragraph" w:styleId="BalloonText">
    <w:name w:val="Balloon Text"/>
    <w:basedOn w:val="Normal"/>
    <w:link w:val="BalloonTextChar"/>
    <w:uiPriority w:val="99"/>
    <w:semiHidden/>
    <w:unhideWhenUsed/>
    <w:rsid w:val="004F4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6EE"/>
    <w:rPr>
      <w:rFonts w:ascii="Tahoma" w:hAnsi="Tahoma" w:cs="Tahoma"/>
      <w:sz w:val="16"/>
      <w:szCs w:val="16"/>
    </w:rPr>
  </w:style>
  <w:style w:type="paragraph" w:styleId="Header">
    <w:name w:val="header"/>
    <w:basedOn w:val="Normal"/>
    <w:link w:val="HeaderChar"/>
    <w:uiPriority w:val="99"/>
    <w:unhideWhenUsed/>
    <w:rsid w:val="00DA4A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AA9"/>
  </w:style>
  <w:style w:type="paragraph" w:styleId="Footer">
    <w:name w:val="footer"/>
    <w:basedOn w:val="Normal"/>
    <w:link w:val="FooterChar"/>
    <w:uiPriority w:val="99"/>
    <w:unhideWhenUsed/>
    <w:rsid w:val="00DA4A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AA9"/>
  </w:style>
  <w:style w:type="character" w:styleId="PageNumber">
    <w:name w:val="page number"/>
    <w:basedOn w:val="DefaultParagraphFont"/>
    <w:uiPriority w:val="99"/>
    <w:semiHidden/>
    <w:unhideWhenUsed/>
    <w:rsid w:val="00DA4AA9"/>
  </w:style>
  <w:style w:type="paragraph" w:styleId="ListParagraph">
    <w:name w:val="List Paragraph"/>
    <w:basedOn w:val="Normal"/>
    <w:uiPriority w:val="34"/>
    <w:qFormat/>
    <w:rsid w:val="00DA4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Chuman Shrestha</dc:creator>
  <cp:keywords/>
  <dc:description/>
  <cp:lastModifiedBy>Sadiksha Neupane</cp:lastModifiedBy>
  <cp:revision>5</cp:revision>
  <cp:lastPrinted>2024-10-17T09:47:00Z</cp:lastPrinted>
  <dcterms:created xsi:type="dcterms:W3CDTF">2024-10-17T09:37:00Z</dcterms:created>
  <dcterms:modified xsi:type="dcterms:W3CDTF">2024-10-17T09:47:00Z</dcterms:modified>
</cp:coreProperties>
</file>